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6CD36" w14:textId="78556472" w:rsidR="008641D2" w:rsidRPr="008641D2" w:rsidRDefault="008641D2" w:rsidP="008641D2">
      <w:pPr>
        <w:spacing w:after="0"/>
        <w:rPr>
          <w:b/>
        </w:rPr>
      </w:pPr>
      <w:r w:rsidRPr="008641D2">
        <w:rPr>
          <w:b/>
        </w:rPr>
        <w:t>Impaired Waters Monitoring and Implementation Plan:</w:t>
      </w:r>
      <w:r>
        <w:rPr>
          <w:b/>
        </w:rPr>
        <w:t xml:space="preserve">  202</w:t>
      </w:r>
      <w:r w:rsidR="00900D07">
        <w:rPr>
          <w:b/>
        </w:rPr>
        <w:t>2</w:t>
      </w:r>
      <w:r>
        <w:rPr>
          <w:b/>
        </w:rPr>
        <w:t xml:space="preserve"> Annual Evaluation</w:t>
      </w:r>
    </w:p>
    <w:p w14:paraId="383B85BB" w14:textId="77777777" w:rsidR="008641D2" w:rsidRDefault="008641D2" w:rsidP="008641D2">
      <w:pPr>
        <w:spacing w:after="0"/>
      </w:pPr>
    </w:p>
    <w:p w14:paraId="5E862D2D" w14:textId="77777777" w:rsidR="008641D2" w:rsidRDefault="008641D2" w:rsidP="008641D2">
      <w:pPr>
        <w:spacing w:after="0"/>
      </w:pPr>
      <w:r w:rsidRPr="008641D2">
        <w:rPr>
          <w:u w:val="single"/>
        </w:rPr>
        <w:t>Impaired Waters</w:t>
      </w:r>
    </w:p>
    <w:p w14:paraId="5C7FF3CF" w14:textId="77777777" w:rsidR="008641D2" w:rsidRDefault="008641D2" w:rsidP="008641D2">
      <w:pPr>
        <w:spacing w:after="0"/>
      </w:pPr>
    </w:p>
    <w:p w14:paraId="33B92B96" w14:textId="77777777" w:rsidR="008641D2" w:rsidRDefault="008641D2" w:rsidP="008641D2">
      <w:pPr>
        <w:spacing w:after="0"/>
      </w:pPr>
      <w:r>
        <w:t>The following water have been identified as impaired by the latest 305(b)/303(d) list of waters and are the subject of this plan.  In each case, the pollutant of concern is fecal coliform.</w:t>
      </w:r>
    </w:p>
    <w:p w14:paraId="61C9D5BC" w14:textId="77777777" w:rsidR="008641D2" w:rsidRDefault="008641D2" w:rsidP="008641D2">
      <w:pPr>
        <w:spacing w:after="0"/>
      </w:pPr>
    </w:p>
    <w:p w14:paraId="171968A3" w14:textId="77777777" w:rsidR="008641D2" w:rsidRDefault="008641D2" w:rsidP="008641D2">
      <w:pPr>
        <w:pStyle w:val="ListParagraph"/>
        <w:numPr>
          <w:ilvl w:val="0"/>
          <w:numId w:val="2"/>
        </w:numPr>
        <w:spacing w:after="0"/>
      </w:pPr>
      <w:r>
        <w:t>Barber Creek</w:t>
      </w:r>
    </w:p>
    <w:p w14:paraId="44CFF8CD" w14:textId="77777777" w:rsidR="008641D2" w:rsidRDefault="008641D2" w:rsidP="008641D2">
      <w:pPr>
        <w:pStyle w:val="ListParagraph"/>
        <w:numPr>
          <w:ilvl w:val="0"/>
          <w:numId w:val="2"/>
        </w:numPr>
        <w:spacing w:after="0"/>
      </w:pPr>
      <w:r>
        <w:t>Calls Creek</w:t>
      </w:r>
    </w:p>
    <w:p w14:paraId="7988A42A" w14:textId="77777777" w:rsidR="008641D2" w:rsidRDefault="008641D2" w:rsidP="008641D2">
      <w:pPr>
        <w:pStyle w:val="ListParagraph"/>
        <w:numPr>
          <w:ilvl w:val="0"/>
          <w:numId w:val="2"/>
        </w:numPr>
        <w:spacing w:after="0"/>
      </w:pPr>
      <w:r>
        <w:t>McNutt Creek</w:t>
      </w:r>
    </w:p>
    <w:p w14:paraId="0A0EDB58" w14:textId="77777777" w:rsidR="008641D2" w:rsidRDefault="008641D2" w:rsidP="008641D2">
      <w:pPr>
        <w:pStyle w:val="ListParagraph"/>
        <w:numPr>
          <w:ilvl w:val="0"/>
          <w:numId w:val="2"/>
        </w:numPr>
        <w:spacing w:after="0"/>
      </w:pPr>
      <w:r>
        <w:t>Middle Oconee River</w:t>
      </w:r>
    </w:p>
    <w:p w14:paraId="77016AA6" w14:textId="77777777" w:rsidR="008641D2" w:rsidRDefault="008641D2" w:rsidP="008641D2">
      <w:pPr>
        <w:spacing w:after="0"/>
      </w:pPr>
    </w:p>
    <w:p w14:paraId="0C655E8A" w14:textId="77777777" w:rsidR="008641D2" w:rsidRDefault="008641D2" w:rsidP="008641D2">
      <w:pPr>
        <w:spacing w:after="0"/>
      </w:pPr>
    </w:p>
    <w:p w14:paraId="27E88DE8" w14:textId="77777777" w:rsidR="008641D2" w:rsidRDefault="008641D2" w:rsidP="008641D2">
      <w:pPr>
        <w:spacing w:after="0"/>
      </w:pPr>
      <w:r w:rsidRPr="008641D2">
        <w:rPr>
          <w:u w:val="single"/>
        </w:rPr>
        <w:t>Monitoring</w:t>
      </w:r>
    </w:p>
    <w:p w14:paraId="1F98B27C" w14:textId="77777777" w:rsidR="008641D2" w:rsidRDefault="008641D2" w:rsidP="008641D2">
      <w:pPr>
        <w:spacing w:after="0"/>
      </w:pPr>
    </w:p>
    <w:p w14:paraId="4003F12D" w14:textId="77777777" w:rsidR="008641D2" w:rsidRDefault="008641D2" w:rsidP="008641D2">
      <w:pPr>
        <w:spacing w:after="0"/>
      </w:pPr>
      <w:r>
        <w:t>Oconee County Water Resources staff performed monitoring according to the approved plan:</w:t>
      </w:r>
    </w:p>
    <w:p w14:paraId="724812AD" w14:textId="77777777" w:rsidR="008641D2" w:rsidRDefault="008641D2" w:rsidP="008641D2">
      <w:pPr>
        <w:spacing w:after="0"/>
      </w:pPr>
    </w:p>
    <w:p w14:paraId="5201740D" w14:textId="77777777" w:rsidR="008641D2" w:rsidRDefault="008641D2" w:rsidP="008641D2">
      <w:pPr>
        <w:pStyle w:val="ListParagraph"/>
        <w:numPr>
          <w:ilvl w:val="0"/>
          <w:numId w:val="3"/>
        </w:numPr>
        <w:spacing w:after="0"/>
      </w:pPr>
      <w:r>
        <w:t>Upstream and downstream samples were collected from each of the impaired waters in order to calculate two geometric means for the year.</w:t>
      </w:r>
    </w:p>
    <w:p w14:paraId="1CCE04A5" w14:textId="69043923" w:rsidR="008641D2" w:rsidRDefault="008641D2" w:rsidP="008641D2">
      <w:pPr>
        <w:pStyle w:val="ListParagraph"/>
        <w:numPr>
          <w:ilvl w:val="1"/>
          <w:numId w:val="3"/>
        </w:numPr>
        <w:spacing w:after="0"/>
      </w:pPr>
      <w:r>
        <w:t>A minimum of four samples were collected (one week apart) from each sampling site during the months of April and October 202</w:t>
      </w:r>
      <w:r w:rsidR="00900D07">
        <w:t>2</w:t>
      </w:r>
      <w:r>
        <w:t>.</w:t>
      </w:r>
    </w:p>
    <w:p w14:paraId="2694F354" w14:textId="77777777" w:rsidR="008641D2" w:rsidRDefault="008641D2" w:rsidP="008641D2">
      <w:pPr>
        <w:pStyle w:val="ListParagraph"/>
        <w:numPr>
          <w:ilvl w:val="1"/>
          <w:numId w:val="3"/>
        </w:numPr>
        <w:spacing w:after="0"/>
      </w:pPr>
      <w:r>
        <w:t>Laboratory analysis for fecal coliform was conducted and the geometric mean for each site was calculated.  The results are shown in the table below:</w:t>
      </w:r>
    </w:p>
    <w:p w14:paraId="3B4798A2" w14:textId="77777777" w:rsidR="008641D2" w:rsidRDefault="008641D2" w:rsidP="008641D2">
      <w:pPr>
        <w:spacing w:after="0"/>
      </w:pPr>
    </w:p>
    <w:tbl>
      <w:tblPr>
        <w:tblStyle w:val="TableGrid"/>
        <w:tblW w:w="0" w:type="auto"/>
        <w:jc w:val="center"/>
        <w:tblLook w:val="04A0" w:firstRow="1" w:lastRow="0" w:firstColumn="1" w:lastColumn="0" w:noHBand="0" w:noVBand="1"/>
      </w:tblPr>
      <w:tblGrid>
        <w:gridCol w:w="1615"/>
        <w:gridCol w:w="1455"/>
        <w:gridCol w:w="1475"/>
        <w:gridCol w:w="1405"/>
        <w:gridCol w:w="1515"/>
      </w:tblGrid>
      <w:tr w:rsidR="008641D2" w14:paraId="61D920CE" w14:textId="77777777" w:rsidTr="00002568">
        <w:trPr>
          <w:jc w:val="center"/>
        </w:trPr>
        <w:tc>
          <w:tcPr>
            <w:tcW w:w="1615" w:type="dxa"/>
            <w:vAlign w:val="center"/>
          </w:tcPr>
          <w:p w14:paraId="44B764C1" w14:textId="77777777" w:rsidR="008641D2" w:rsidRDefault="008641D2" w:rsidP="008641D2"/>
        </w:tc>
        <w:tc>
          <w:tcPr>
            <w:tcW w:w="1455" w:type="dxa"/>
            <w:vAlign w:val="center"/>
          </w:tcPr>
          <w:p w14:paraId="4AA11B27" w14:textId="77777777" w:rsidR="008641D2" w:rsidRDefault="008641D2" w:rsidP="008641D2">
            <w:r>
              <w:t>April - Upstream</w:t>
            </w:r>
          </w:p>
        </w:tc>
        <w:tc>
          <w:tcPr>
            <w:tcW w:w="1475" w:type="dxa"/>
            <w:vAlign w:val="center"/>
          </w:tcPr>
          <w:p w14:paraId="219B753F" w14:textId="77777777" w:rsidR="008641D2" w:rsidRDefault="008641D2" w:rsidP="008641D2">
            <w:r>
              <w:t>April - Downstream</w:t>
            </w:r>
          </w:p>
        </w:tc>
        <w:tc>
          <w:tcPr>
            <w:tcW w:w="1405" w:type="dxa"/>
            <w:vAlign w:val="center"/>
          </w:tcPr>
          <w:p w14:paraId="63EDAFB3" w14:textId="77777777" w:rsidR="008641D2" w:rsidRDefault="008641D2" w:rsidP="008641D2">
            <w:r>
              <w:t>October - Upstream</w:t>
            </w:r>
          </w:p>
        </w:tc>
        <w:tc>
          <w:tcPr>
            <w:tcW w:w="1515" w:type="dxa"/>
            <w:vAlign w:val="center"/>
          </w:tcPr>
          <w:p w14:paraId="307A609C" w14:textId="77777777" w:rsidR="008641D2" w:rsidRDefault="008641D2" w:rsidP="008641D2">
            <w:r>
              <w:t>October - Downstream</w:t>
            </w:r>
          </w:p>
        </w:tc>
      </w:tr>
      <w:tr w:rsidR="008641D2" w14:paraId="2C71FBE3" w14:textId="77777777" w:rsidTr="00002568">
        <w:trPr>
          <w:trHeight w:val="440"/>
          <w:jc w:val="center"/>
        </w:trPr>
        <w:tc>
          <w:tcPr>
            <w:tcW w:w="1615" w:type="dxa"/>
            <w:vAlign w:val="center"/>
          </w:tcPr>
          <w:p w14:paraId="61CC5A66" w14:textId="77777777" w:rsidR="008641D2" w:rsidRDefault="008641D2" w:rsidP="008641D2">
            <w:r>
              <w:t>Barber Creek</w:t>
            </w:r>
          </w:p>
        </w:tc>
        <w:tc>
          <w:tcPr>
            <w:tcW w:w="1455" w:type="dxa"/>
            <w:vAlign w:val="center"/>
          </w:tcPr>
          <w:p w14:paraId="77B4D38B" w14:textId="3B9E4D55" w:rsidR="008641D2" w:rsidRDefault="00900D07" w:rsidP="00B9167C">
            <w:pPr>
              <w:jc w:val="center"/>
            </w:pPr>
            <w:r>
              <w:t>236.29</w:t>
            </w:r>
          </w:p>
        </w:tc>
        <w:tc>
          <w:tcPr>
            <w:tcW w:w="1475" w:type="dxa"/>
            <w:vAlign w:val="center"/>
          </w:tcPr>
          <w:p w14:paraId="6F246930" w14:textId="58274612" w:rsidR="008641D2" w:rsidRDefault="00900D07" w:rsidP="00B9167C">
            <w:pPr>
              <w:jc w:val="center"/>
            </w:pPr>
            <w:r>
              <w:t>205.44</w:t>
            </w:r>
          </w:p>
        </w:tc>
        <w:tc>
          <w:tcPr>
            <w:tcW w:w="1405" w:type="dxa"/>
            <w:vAlign w:val="center"/>
          </w:tcPr>
          <w:p w14:paraId="62E453A4" w14:textId="3873E245" w:rsidR="008641D2" w:rsidRDefault="00900D07" w:rsidP="00B9167C">
            <w:pPr>
              <w:jc w:val="center"/>
            </w:pPr>
            <w:r>
              <w:t>291.57</w:t>
            </w:r>
          </w:p>
        </w:tc>
        <w:tc>
          <w:tcPr>
            <w:tcW w:w="1515" w:type="dxa"/>
            <w:vAlign w:val="center"/>
          </w:tcPr>
          <w:p w14:paraId="6C69A87F" w14:textId="3EA376E6" w:rsidR="008641D2" w:rsidRDefault="00900D07" w:rsidP="00B9167C">
            <w:pPr>
              <w:jc w:val="center"/>
            </w:pPr>
            <w:r>
              <w:t>174.47</w:t>
            </w:r>
          </w:p>
        </w:tc>
      </w:tr>
      <w:tr w:rsidR="008641D2" w14:paraId="511BEC63" w14:textId="77777777" w:rsidTr="00002568">
        <w:trPr>
          <w:trHeight w:val="422"/>
          <w:jc w:val="center"/>
        </w:trPr>
        <w:tc>
          <w:tcPr>
            <w:tcW w:w="1615" w:type="dxa"/>
            <w:vAlign w:val="center"/>
          </w:tcPr>
          <w:p w14:paraId="2BD8EEBC" w14:textId="77777777" w:rsidR="008641D2" w:rsidRDefault="008641D2" w:rsidP="008641D2">
            <w:r>
              <w:t>Calls Creek</w:t>
            </w:r>
          </w:p>
        </w:tc>
        <w:tc>
          <w:tcPr>
            <w:tcW w:w="1455" w:type="dxa"/>
            <w:vAlign w:val="center"/>
          </w:tcPr>
          <w:p w14:paraId="3C4B6FC6" w14:textId="563A2074" w:rsidR="008641D2" w:rsidRDefault="00A175B2" w:rsidP="00B9167C">
            <w:pPr>
              <w:jc w:val="center"/>
            </w:pPr>
            <w:r>
              <w:t>854.00</w:t>
            </w:r>
          </w:p>
        </w:tc>
        <w:tc>
          <w:tcPr>
            <w:tcW w:w="1475" w:type="dxa"/>
            <w:vAlign w:val="center"/>
          </w:tcPr>
          <w:p w14:paraId="350BD1BA" w14:textId="5C3E4779" w:rsidR="008641D2" w:rsidRDefault="00A175B2" w:rsidP="00B9167C">
            <w:pPr>
              <w:jc w:val="center"/>
            </w:pPr>
            <w:r>
              <w:t>405.95</w:t>
            </w:r>
          </w:p>
        </w:tc>
        <w:tc>
          <w:tcPr>
            <w:tcW w:w="1405" w:type="dxa"/>
            <w:vAlign w:val="center"/>
          </w:tcPr>
          <w:p w14:paraId="21799B66" w14:textId="0E700B55" w:rsidR="008641D2" w:rsidRDefault="00A175B2" w:rsidP="00B9167C">
            <w:pPr>
              <w:jc w:val="center"/>
            </w:pPr>
            <w:r>
              <w:t>393.00</w:t>
            </w:r>
          </w:p>
        </w:tc>
        <w:tc>
          <w:tcPr>
            <w:tcW w:w="1515" w:type="dxa"/>
            <w:vAlign w:val="center"/>
          </w:tcPr>
          <w:p w14:paraId="514B4ED4" w14:textId="3D2CE2D0" w:rsidR="008641D2" w:rsidRDefault="00A175B2" w:rsidP="00B9167C">
            <w:pPr>
              <w:jc w:val="center"/>
            </w:pPr>
            <w:r>
              <w:t>104.87</w:t>
            </w:r>
          </w:p>
        </w:tc>
      </w:tr>
      <w:tr w:rsidR="008641D2" w14:paraId="22647A12" w14:textId="77777777" w:rsidTr="00002568">
        <w:trPr>
          <w:trHeight w:val="413"/>
          <w:jc w:val="center"/>
        </w:trPr>
        <w:tc>
          <w:tcPr>
            <w:tcW w:w="1615" w:type="dxa"/>
            <w:vAlign w:val="center"/>
          </w:tcPr>
          <w:p w14:paraId="374875D8" w14:textId="77777777" w:rsidR="008641D2" w:rsidRDefault="008641D2" w:rsidP="008641D2">
            <w:r>
              <w:t>McNutt Creek</w:t>
            </w:r>
          </w:p>
        </w:tc>
        <w:tc>
          <w:tcPr>
            <w:tcW w:w="1455" w:type="dxa"/>
            <w:vAlign w:val="center"/>
          </w:tcPr>
          <w:p w14:paraId="71DDBE2D" w14:textId="3DEC6937" w:rsidR="008641D2" w:rsidRDefault="00A175B2" w:rsidP="00B9167C">
            <w:pPr>
              <w:jc w:val="center"/>
            </w:pPr>
            <w:r>
              <w:t>741.45</w:t>
            </w:r>
          </w:p>
        </w:tc>
        <w:tc>
          <w:tcPr>
            <w:tcW w:w="1475" w:type="dxa"/>
            <w:vAlign w:val="center"/>
          </w:tcPr>
          <w:p w14:paraId="62D5B4F7" w14:textId="2FE4CCDD" w:rsidR="008641D2" w:rsidRDefault="00A175B2" w:rsidP="00B9167C">
            <w:pPr>
              <w:jc w:val="center"/>
            </w:pPr>
            <w:r>
              <w:t>261.10</w:t>
            </w:r>
          </w:p>
        </w:tc>
        <w:tc>
          <w:tcPr>
            <w:tcW w:w="1405" w:type="dxa"/>
            <w:vAlign w:val="center"/>
          </w:tcPr>
          <w:p w14:paraId="3B8C41DF" w14:textId="2F29D56A" w:rsidR="008641D2" w:rsidRDefault="00A175B2" w:rsidP="00B9167C">
            <w:pPr>
              <w:jc w:val="center"/>
            </w:pPr>
            <w:r>
              <w:t>166.76</w:t>
            </w:r>
          </w:p>
        </w:tc>
        <w:tc>
          <w:tcPr>
            <w:tcW w:w="1515" w:type="dxa"/>
            <w:vAlign w:val="center"/>
          </w:tcPr>
          <w:p w14:paraId="0EC7CF32" w14:textId="26345219" w:rsidR="008641D2" w:rsidRDefault="00A175B2" w:rsidP="00B9167C">
            <w:pPr>
              <w:jc w:val="center"/>
            </w:pPr>
            <w:r>
              <w:t>320.54</w:t>
            </w:r>
          </w:p>
        </w:tc>
      </w:tr>
      <w:tr w:rsidR="008641D2" w14:paraId="70559C37" w14:textId="77777777" w:rsidTr="00002568">
        <w:trPr>
          <w:jc w:val="center"/>
        </w:trPr>
        <w:tc>
          <w:tcPr>
            <w:tcW w:w="1615" w:type="dxa"/>
            <w:vAlign w:val="center"/>
          </w:tcPr>
          <w:p w14:paraId="03ABD444" w14:textId="77777777" w:rsidR="008641D2" w:rsidRDefault="008641D2" w:rsidP="008641D2">
            <w:r>
              <w:t>Middle Oconee River</w:t>
            </w:r>
          </w:p>
        </w:tc>
        <w:tc>
          <w:tcPr>
            <w:tcW w:w="1455" w:type="dxa"/>
            <w:vAlign w:val="center"/>
          </w:tcPr>
          <w:p w14:paraId="71FAF25E" w14:textId="77777777" w:rsidR="008641D2" w:rsidRDefault="006375D1" w:rsidP="00B9167C">
            <w:pPr>
              <w:jc w:val="center"/>
            </w:pPr>
            <w:r>
              <w:t>83.71</w:t>
            </w:r>
          </w:p>
        </w:tc>
        <w:tc>
          <w:tcPr>
            <w:tcW w:w="1475" w:type="dxa"/>
            <w:vAlign w:val="center"/>
          </w:tcPr>
          <w:p w14:paraId="4330ECCB" w14:textId="77777777" w:rsidR="008641D2" w:rsidRDefault="006375D1" w:rsidP="006A1757">
            <w:pPr>
              <w:jc w:val="center"/>
            </w:pPr>
            <w:r>
              <w:t>8</w:t>
            </w:r>
            <w:r w:rsidR="006A1757">
              <w:t>7</w:t>
            </w:r>
            <w:r>
              <w:t>.47</w:t>
            </w:r>
          </w:p>
        </w:tc>
        <w:tc>
          <w:tcPr>
            <w:tcW w:w="1405" w:type="dxa"/>
            <w:vAlign w:val="center"/>
          </w:tcPr>
          <w:p w14:paraId="46F91045" w14:textId="77777777" w:rsidR="008641D2" w:rsidRDefault="006A1757" w:rsidP="00B9167C">
            <w:pPr>
              <w:jc w:val="center"/>
            </w:pPr>
            <w:r>
              <w:t>214.34</w:t>
            </w:r>
          </w:p>
        </w:tc>
        <w:tc>
          <w:tcPr>
            <w:tcW w:w="1515" w:type="dxa"/>
            <w:vAlign w:val="center"/>
          </w:tcPr>
          <w:p w14:paraId="5BF20FD1" w14:textId="77777777" w:rsidR="008641D2" w:rsidRDefault="006A1757" w:rsidP="00B9167C">
            <w:pPr>
              <w:jc w:val="center"/>
            </w:pPr>
            <w:r>
              <w:t>322.77</w:t>
            </w:r>
          </w:p>
        </w:tc>
      </w:tr>
    </w:tbl>
    <w:p w14:paraId="1F56DB46" w14:textId="77777777" w:rsidR="008641D2" w:rsidRDefault="008641D2" w:rsidP="008641D2">
      <w:pPr>
        <w:spacing w:after="0"/>
      </w:pPr>
    </w:p>
    <w:p w14:paraId="6226D87B" w14:textId="77777777" w:rsidR="00002568" w:rsidRDefault="00002568" w:rsidP="008641D2">
      <w:pPr>
        <w:spacing w:after="0"/>
      </w:pPr>
    </w:p>
    <w:p w14:paraId="074BCE8A" w14:textId="77777777" w:rsidR="00002568" w:rsidRDefault="00002568">
      <w:r>
        <w:br w:type="page"/>
      </w:r>
    </w:p>
    <w:p w14:paraId="023F2E2C" w14:textId="77777777" w:rsidR="00002568" w:rsidRPr="00002568" w:rsidRDefault="00002568" w:rsidP="008641D2">
      <w:pPr>
        <w:spacing w:after="0"/>
        <w:rPr>
          <w:u w:val="single"/>
        </w:rPr>
      </w:pPr>
      <w:r w:rsidRPr="00002568">
        <w:rPr>
          <w:u w:val="single"/>
        </w:rPr>
        <w:lastRenderedPageBreak/>
        <w:t>Trend in Water Quality</w:t>
      </w:r>
    </w:p>
    <w:p w14:paraId="4CDAFDA3" w14:textId="77777777" w:rsidR="00002568" w:rsidRDefault="00002568" w:rsidP="008641D2">
      <w:pPr>
        <w:spacing w:after="0"/>
      </w:pPr>
    </w:p>
    <w:p w14:paraId="08414424" w14:textId="77777777" w:rsidR="00002568" w:rsidRDefault="00002568" w:rsidP="008641D2">
      <w:pPr>
        <w:spacing w:after="0"/>
      </w:pPr>
      <w:r>
        <w:t>The following graphs compare data results over time for each of the four impaired waters:</w:t>
      </w:r>
    </w:p>
    <w:p w14:paraId="4ADFCF1A" w14:textId="77777777" w:rsidR="00002568" w:rsidRDefault="00002568" w:rsidP="008641D2">
      <w:pPr>
        <w:spacing w:after="0"/>
      </w:pPr>
    </w:p>
    <w:p w14:paraId="0718F0DD" w14:textId="282F07AE" w:rsidR="00002568" w:rsidRDefault="00900D07" w:rsidP="008641D2">
      <w:pPr>
        <w:spacing w:after="0"/>
      </w:pPr>
      <w:r>
        <w:rPr>
          <w:noProof/>
        </w:rPr>
        <w:drawing>
          <wp:inline distT="0" distB="0" distL="0" distR="0" wp14:anchorId="2F465F8D" wp14:editId="5BD672B9">
            <wp:extent cx="5943600" cy="3598545"/>
            <wp:effectExtent l="0" t="0" r="0" b="1905"/>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2DD0EA6" w14:textId="77777777" w:rsidR="00C55712" w:rsidRDefault="00C55712" w:rsidP="008641D2">
      <w:pPr>
        <w:spacing w:after="0"/>
      </w:pPr>
    </w:p>
    <w:p w14:paraId="5587D144" w14:textId="102BC40A" w:rsidR="00C55712" w:rsidRDefault="00900D07" w:rsidP="008641D2">
      <w:pPr>
        <w:spacing w:after="0"/>
      </w:pPr>
      <w:r>
        <w:t>During calendar year 2022, the upstream sampling of Barber Creek was higher than the downstream sampling.  Over the sampling period from 2016, the downstream sampling has historically been higher than the upstream.  Calendar year 2022 showed improvements in the stream.  It is recommended to continue monitoring the stream to see if further improvements are documented.</w:t>
      </w:r>
    </w:p>
    <w:p w14:paraId="56740B2C" w14:textId="77777777" w:rsidR="0058176C" w:rsidRDefault="0058176C">
      <w:r>
        <w:br w:type="page"/>
      </w:r>
    </w:p>
    <w:p w14:paraId="3CDD7F49" w14:textId="3B7E458A" w:rsidR="00EE6B02" w:rsidRDefault="003A48D6">
      <w:r>
        <w:rPr>
          <w:noProof/>
        </w:rPr>
        <w:lastRenderedPageBreak/>
        <w:drawing>
          <wp:inline distT="0" distB="0" distL="0" distR="0" wp14:anchorId="763E9FDD" wp14:editId="509E81A3">
            <wp:extent cx="6391275" cy="3876675"/>
            <wp:effectExtent l="0" t="0" r="9525" b="9525"/>
            <wp:docPr id="5" name="Chart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868E75E" w14:textId="070134A7" w:rsidR="00EE6B02" w:rsidRDefault="00EE6B02">
      <w:r>
        <w:t>Based on the sampling results since 2016, the downstream sampling of Calls Creek is consistently lower than the upstream sampling.  This data suggests Calls Creek is improving from the upstream sampling point to the downstream sampling point.</w:t>
      </w:r>
    </w:p>
    <w:p w14:paraId="0B80BE71" w14:textId="77777777" w:rsidR="0058176C" w:rsidRDefault="0058176C">
      <w:r>
        <w:br w:type="page"/>
      </w:r>
    </w:p>
    <w:p w14:paraId="6516BEDA" w14:textId="5149A4FE" w:rsidR="00EE6B02" w:rsidRDefault="00A175B2">
      <w:r>
        <w:rPr>
          <w:noProof/>
        </w:rPr>
        <w:lastRenderedPageBreak/>
        <w:drawing>
          <wp:inline distT="0" distB="0" distL="0" distR="0" wp14:anchorId="114B9365" wp14:editId="12456B20">
            <wp:extent cx="6467475" cy="5667375"/>
            <wp:effectExtent l="0" t="0" r="9525" b="9525"/>
            <wp:docPr id="6" name="Chart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A4AE2D" w14:textId="45A0DE93" w:rsidR="001111B1" w:rsidRDefault="00EE6B02">
      <w:r>
        <w:t xml:space="preserve">Based on the sampling results since 2016, the downstream sampling of McNutt Creek </w:t>
      </w:r>
      <w:r w:rsidR="0058176C">
        <w:t>is consistently lower than the upstream sampling.</w:t>
      </w:r>
      <w:r>
        <w:t xml:space="preserve">  </w:t>
      </w:r>
      <w:r w:rsidR="00A175B2">
        <w:t xml:space="preserve">However, in calendar year 2022, the October sampling showed the downstream higher than the upstream samples.  </w:t>
      </w:r>
      <w:r>
        <w:t xml:space="preserve">This data suggests </w:t>
      </w:r>
      <w:r w:rsidR="001A506E">
        <w:t>McNutt</w:t>
      </w:r>
      <w:r>
        <w:t xml:space="preserve"> Creek is </w:t>
      </w:r>
      <w:r w:rsidR="001A506E">
        <w:t xml:space="preserve">remaining stationary and may be improving </w:t>
      </w:r>
      <w:r>
        <w:t>from the upstream sampling point to the downstream sampling point.</w:t>
      </w:r>
    </w:p>
    <w:p w14:paraId="2CBACD4A" w14:textId="77777777" w:rsidR="0058176C" w:rsidRDefault="0058176C">
      <w:r>
        <w:br w:type="page"/>
      </w:r>
    </w:p>
    <w:p w14:paraId="15625AAA" w14:textId="3AB3C6A5" w:rsidR="001111B1" w:rsidRDefault="00A175B2">
      <w:r>
        <w:rPr>
          <w:noProof/>
        </w:rPr>
        <w:lastRenderedPageBreak/>
        <w:drawing>
          <wp:inline distT="0" distB="0" distL="0" distR="0" wp14:anchorId="1DD87E1D" wp14:editId="2232F672">
            <wp:extent cx="6248400" cy="3810000"/>
            <wp:effectExtent l="0" t="0" r="0" b="0"/>
            <wp:docPr id="7" name="Chart 7">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3CE9DF" w14:textId="570AE8DB" w:rsidR="0058176C" w:rsidRDefault="001111B1">
      <w:r>
        <w:t>Based on the sampling results since 2016, the downstream samp</w:t>
      </w:r>
      <w:r w:rsidR="00CF2FC1">
        <w:t xml:space="preserve">ling of the Middle Oconee River has been </w:t>
      </w:r>
      <w:r>
        <w:t xml:space="preserve">higher than the upstream sampling in </w:t>
      </w:r>
      <w:r w:rsidR="00CF2FC1">
        <w:t>six</w:t>
      </w:r>
      <w:r>
        <w:t xml:space="preserve"> of 1</w:t>
      </w:r>
      <w:r w:rsidR="00CF2FC1">
        <w:t>3</w:t>
      </w:r>
      <w:r>
        <w:t xml:space="preserve"> samples.  </w:t>
      </w:r>
      <w:r w:rsidR="00CF2FC1">
        <w:t xml:space="preserve">This data has remained fairly stationary over the last two years.  </w:t>
      </w:r>
      <w:r w:rsidR="00A175B2">
        <w:t xml:space="preserve">The sampling data for calendar year 2022 showed the downstream results were higher than the upstream results.  </w:t>
      </w:r>
      <w:r w:rsidR="00CF2FC1">
        <w:t>The river is trending to remaining stationary from degrading during the early years of this permit period.</w:t>
      </w:r>
    </w:p>
    <w:p w14:paraId="30E5001B" w14:textId="77777777" w:rsidR="0058176C" w:rsidRDefault="0058176C"/>
    <w:p w14:paraId="5C41DB75" w14:textId="77777777" w:rsidR="0058176C" w:rsidRDefault="0058176C">
      <w:r>
        <w:br w:type="page"/>
      </w:r>
    </w:p>
    <w:p w14:paraId="658CF490" w14:textId="77777777" w:rsidR="001D4BCB" w:rsidRPr="001D4BCB" w:rsidRDefault="001D4BCB" w:rsidP="008641D2">
      <w:pPr>
        <w:spacing w:after="0"/>
        <w:rPr>
          <w:u w:val="single"/>
        </w:rPr>
      </w:pPr>
      <w:r w:rsidRPr="001D4BCB">
        <w:rPr>
          <w:u w:val="single"/>
        </w:rPr>
        <w:lastRenderedPageBreak/>
        <w:t>Evaluation</w:t>
      </w:r>
    </w:p>
    <w:p w14:paraId="6B8F2914" w14:textId="77777777" w:rsidR="001D4BCB" w:rsidRDefault="001D4BCB" w:rsidP="008641D2">
      <w:pPr>
        <w:spacing w:after="0"/>
      </w:pPr>
    </w:p>
    <w:p w14:paraId="6E27CC43" w14:textId="77777777" w:rsidR="001D4BCB" w:rsidRDefault="001D4BCB" w:rsidP="008641D2">
      <w:pPr>
        <w:spacing w:after="0"/>
      </w:pPr>
      <w:r>
        <w:t>BMP’s included from the County’s SWMP</w:t>
      </w:r>
    </w:p>
    <w:p w14:paraId="07D42B0B" w14:textId="77777777" w:rsidR="001D4BCB" w:rsidRDefault="001D4BCB" w:rsidP="008641D2">
      <w:pPr>
        <w:spacing w:after="0"/>
      </w:pPr>
    </w:p>
    <w:p w14:paraId="7183EC7B" w14:textId="77777777" w:rsidR="001D4BCB" w:rsidRDefault="001D4BCB" w:rsidP="001D4BCB">
      <w:pPr>
        <w:spacing w:after="0"/>
        <w:ind w:firstLine="360"/>
      </w:pPr>
      <w:r>
        <w:t>1.  Public Education and Outreach BMP 2:  Website</w:t>
      </w:r>
    </w:p>
    <w:p w14:paraId="6D142052" w14:textId="77777777" w:rsidR="001D4BCB" w:rsidRDefault="001D4BCB" w:rsidP="001D4BCB">
      <w:pPr>
        <w:spacing w:after="0"/>
        <w:ind w:firstLine="360"/>
      </w:pPr>
      <w:r>
        <w:t>2.  Public Education and Outreach BMP 3:  Social Media Program</w:t>
      </w:r>
    </w:p>
    <w:p w14:paraId="3828CA86" w14:textId="77777777" w:rsidR="001D4BCB" w:rsidRDefault="001D4BCB" w:rsidP="001D4BCB">
      <w:pPr>
        <w:spacing w:after="0"/>
        <w:ind w:left="630" w:hanging="270"/>
      </w:pPr>
      <w:r>
        <w:t>3.  Public Education and Outreach BMP 4:  Distribution of educational material at events attended by Keep Oconee Beautiful</w:t>
      </w:r>
    </w:p>
    <w:p w14:paraId="0FEE3D57" w14:textId="77777777" w:rsidR="001D4BCB" w:rsidRDefault="001D4BCB" w:rsidP="001D4BCB">
      <w:pPr>
        <w:spacing w:after="0"/>
        <w:ind w:left="630" w:hanging="270"/>
      </w:pPr>
      <w:r>
        <w:t>4.  Public Involvement/Participation BMP 2:  River cleanup event by Keep Oconee Beautiful</w:t>
      </w:r>
    </w:p>
    <w:p w14:paraId="41B3F119" w14:textId="77777777" w:rsidR="001D4BCB" w:rsidRDefault="001D4BCB" w:rsidP="001D4BCB">
      <w:pPr>
        <w:spacing w:after="0"/>
        <w:ind w:left="630" w:hanging="270"/>
      </w:pPr>
      <w:r>
        <w:t>5.  Illicit Discharge Detection and Elimination BMP 1:  Ordinance to prohibit illicit discharges to the storm drain system</w:t>
      </w:r>
    </w:p>
    <w:p w14:paraId="2F35124B" w14:textId="77777777" w:rsidR="001D4BCB" w:rsidRDefault="001D4BCB" w:rsidP="001D4BCB">
      <w:pPr>
        <w:spacing w:after="0"/>
        <w:ind w:left="990" w:hanging="630"/>
      </w:pPr>
      <w:r>
        <w:t>6.  Illicit Discharge Detection and Elimination BMP 3:  Dry weather screenings</w:t>
      </w:r>
    </w:p>
    <w:p w14:paraId="220B824B" w14:textId="77777777" w:rsidR="001D4BCB" w:rsidRDefault="001D4BCB" w:rsidP="001D4BCB">
      <w:pPr>
        <w:spacing w:after="0"/>
        <w:ind w:left="990" w:hanging="270"/>
      </w:pPr>
    </w:p>
    <w:p w14:paraId="2E922FD1" w14:textId="77777777" w:rsidR="001D4BCB" w:rsidRDefault="001D4BCB" w:rsidP="001D4BCB">
      <w:pPr>
        <w:spacing w:after="0"/>
        <w:ind w:left="270" w:hanging="270"/>
      </w:pPr>
      <w:r>
        <w:t>Additional BMP’s</w:t>
      </w:r>
    </w:p>
    <w:p w14:paraId="39414416" w14:textId="77777777" w:rsidR="001D4BCB" w:rsidRDefault="001D4BCB" w:rsidP="001D4BCB">
      <w:pPr>
        <w:spacing w:after="0"/>
        <w:ind w:left="270" w:hanging="270"/>
      </w:pPr>
    </w:p>
    <w:p w14:paraId="17DDCDB2" w14:textId="77777777" w:rsidR="001D4BCB" w:rsidRDefault="001D4BCB" w:rsidP="001D4BCB">
      <w:pPr>
        <w:spacing w:after="0"/>
        <w:ind w:firstLine="360"/>
      </w:pPr>
      <w:r>
        <w:t>7.  Pet waste stations at public parks</w:t>
      </w:r>
    </w:p>
    <w:p w14:paraId="3328E701" w14:textId="77777777" w:rsidR="001D4BCB" w:rsidRDefault="001D4BCB" w:rsidP="001D4BCB">
      <w:pPr>
        <w:spacing w:after="0"/>
        <w:ind w:firstLine="360"/>
      </w:pPr>
      <w:r>
        <w:t>8.  Inspection priority of areas upstream of impaired waters</w:t>
      </w:r>
    </w:p>
    <w:p w14:paraId="4332D3D3" w14:textId="77777777" w:rsidR="001D4BCB" w:rsidRDefault="001D4BCB" w:rsidP="001D4BCB">
      <w:pPr>
        <w:spacing w:after="0"/>
        <w:ind w:firstLine="360"/>
      </w:pPr>
    </w:p>
    <w:p w14:paraId="0FF523EA" w14:textId="77777777" w:rsidR="001D4BCB" w:rsidRDefault="00D766AE" w:rsidP="001D4BCB">
      <w:pPr>
        <w:spacing w:after="0"/>
      </w:pPr>
      <w:r>
        <w:t xml:space="preserve">Some of the waters addressed in this plan enter into Oconee County already impaired, but the downstream sampling does not indicate a higher level of the pollutant in some cases.  Public education has been targeted more specifically to address the source of impairment (fecal coliform) in order to try to further reduce the pollutant.  It is possible that failing septic tanks could be a contributor.  Oconee County continues to partner with </w:t>
      </w:r>
      <w:proofErr w:type="spellStart"/>
      <w:r>
        <w:t>OconeeWaters</w:t>
      </w:r>
      <w:proofErr w:type="spellEnd"/>
      <w:r>
        <w:t xml:space="preserve">, a local environmental group which is part of the Upper Oconee Watershed Network (UOWN </w:t>
      </w:r>
      <w:proofErr w:type="spellStart"/>
      <w:r>
        <w:t>OconeeWaters</w:t>
      </w:r>
      <w:proofErr w:type="spellEnd"/>
      <w:r>
        <w:t>) to continue previously developed educational programs.  The partnership has developed “Storm Water Journey” a geocache trail hosted on the County’s Storm Water Management web page and “Protect our Water”, an educational outreach program originally developed in 2019 to target 2</w:t>
      </w:r>
      <w:r w:rsidRPr="00D766AE">
        <w:rPr>
          <w:vertAlign w:val="superscript"/>
        </w:rPr>
        <w:t>nd</w:t>
      </w:r>
      <w:r>
        <w:t xml:space="preserve"> grade students and their families through the school system.  This program is also available digitally on the Oconee County Storm Water Management web page.</w:t>
      </w:r>
    </w:p>
    <w:p w14:paraId="4A6F8ED1" w14:textId="77777777" w:rsidR="00D766AE" w:rsidRDefault="00D766AE" w:rsidP="001D4BCB">
      <w:pPr>
        <w:spacing w:after="0"/>
      </w:pPr>
    </w:p>
    <w:p w14:paraId="34C6B45B" w14:textId="77777777" w:rsidR="00D766AE" w:rsidRDefault="00D766AE" w:rsidP="001D4BCB">
      <w:pPr>
        <w:spacing w:after="0"/>
      </w:pPr>
    </w:p>
    <w:p w14:paraId="4601C506" w14:textId="77777777" w:rsidR="00D766AE" w:rsidRPr="00682C1C" w:rsidRDefault="00D766AE" w:rsidP="001D4BCB">
      <w:pPr>
        <w:spacing w:after="0"/>
        <w:rPr>
          <w:u w:val="single"/>
        </w:rPr>
      </w:pPr>
      <w:r w:rsidRPr="00682C1C">
        <w:rPr>
          <w:u w:val="single"/>
        </w:rPr>
        <w:t>Tracking</w:t>
      </w:r>
    </w:p>
    <w:p w14:paraId="4CF05956" w14:textId="77777777" w:rsidR="00D766AE" w:rsidRDefault="00D766AE" w:rsidP="001D4BCB">
      <w:pPr>
        <w:spacing w:after="0"/>
      </w:pPr>
    </w:p>
    <w:p w14:paraId="3BA01022" w14:textId="77777777" w:rsidR="00D766AE" w:rsidRPr="008641D2" w:rsidRDefault="00D766AE" w:rsidP="001D4BCB">
      <w:pPr>
        <w:spacing w:after="0"/>
      </w:pPr>
      <w:r>
        <w:t>The data collected by Water Resources during sampling is attached to this evaluation report.</w:t>
      </w:r>
    </w:p>
    <w:sectPr w:rsidR="00D766AE" w:rsidRPr="00864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32CD0"/>
    <w:multiLevelType w:val="hybridMultilevel"/>
    <w:tmpl w:val="B30C8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873ED1"/>
    <w:multiLevelType w:val="hybridMultilevel"/>
    <w:tmpl w:val="14DE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44939"/>
    <w:multiLevelType w:val="hybridMultilevel"/>
    <w:tmpl w:val="CD82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D2"/>
    <w:rsid w:val="00002568"/>
    <w:rsid w:val="000D7325"/>
    <w:rsid w:val="001111B1"/>
    <w:rsid w:val="00174F2F"/>
    <w:rsid w:val="001A506E"/>
    <w:rsid w:val="001D4BCB"/>
    <w:rsid w:val="003A48D6"/>
    <w:rsid w:val="00404D77"/>
    <w:rsid w:val="0058176C"/>
    <w:rsid w:val="006375D1"/>
    <w:rsid w:val="00682C1C"/>
    <w:rsid w:val="006A1757"/>
    <w:rsid w:val="008641D2"/>
    <w:rsid w:val="00900D07"/>
    <w:rsid w:val="00917AEB"/>
    <w:rsid w:val="00A175B2"/>
    <w:rsid w:val="00B9167C"/>
    <w:rsid w:val="00C55712"/>
    <w:rsid w:val="00CF2FC1"/>
    <w:rsid w:val="00D766AE"/>
    <w:rsid w:val="00E65894"/>
    <w:rsid w:val="00EE582A"/>
    <w:rsid w:val="00EE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D1CE"/>
  <w15:chartTrackingRefBased/>
  <w15:docId w15:val="{A0AB9B5D-990D-4111-A466-62D0B701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1D2"/>
    <w:pPr>
      <w:ind w:left="720"/>
      <w:contextualSpacing/>
    </w:pPr>
  </w:style>
  <w:style w:type="table" w:styleId="TableGrid">
    <w:name w:val="Table Grid"/>
    <w:basedOn w:val="TableNormal"/>
    <w:uiPriority w:val="39"/>
    <w:rsid w:val="00864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5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8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ocfs1\F\PUBLIC%20WORKS\Stormwater\Annual%20Reports\2021%20Annual%20Report\Impaired%20Waters%20Monitoring%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ocfs1\F\PUBLIC%20WORKS\Stormwater\Annual%20Reports\2021%20Annual%20Report\Impaired%20Waters%20Monitoring%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ocfs1\F\PUBLIC%20WORKS\Stormwater\Annual%20Reports\2021%20Annual%20Report\Impaired%20Waters%20Monitoring%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ocfs1\F\PUBLIC%20WORKS\Stormwater\Annual%20Reports\2021%20Annual%20Report\Impaired%20Waters%20Monitoring%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Barber Creek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'Barber Creek'!$B$2</c:f>
              <c:strCache>
                <c:ptCount val="1"/>
                <c:pt idx="0">
                  <c:v>Upstream</c:v>
                </c:pt>
              </c:strCache>
            </c:strRef>
          </c:tx>
          <c:spPr>
            <a:ln w="28575" cap="rnd">
              <a:solidFill>
                <a:schemeClr val="accent1"/>
              </a:solidFill>
              <a:prstDash val="sysDash"/>
              <a:round/>
            </a:ln>
            <a:effectLst/>
          </c:spPr>
          <c:marker>
            <c:symbol val="none"/>
          </c:marker>
          <c:cat>
            <c:numRef>
              <c:f>'Barber Creek'!$A$3:$A$16</c:f>
              <c:numCache>
                <c:formatCode>[$-409]mmm\-yy;@</c:formatCode>
                <c:ptCount val="14"/>
                <c:pt idx="0">
                  <c:v>42522</c:v>
                </c:pt>
                <c:pt idx="1">
                  <c:v>42644</c:v>
                </c:pt>
                <c:pt idx="2">
                  <c:v>43009</c:v>
                </c:pt>
                <c:pt idx="3">
                  <c:v>43040</c:v>
                </c:pt>
                <c:pt idx="4">
                  <c:v>43344</c:v>
                </c:pt>
                <c:pt idx="5">
                  <c:v>43405</c:v>
                </c:pt>
                <c:pt idx="6">
                  <c:v>43647</c:v>
                </c:pt>
                <c:pt idx="7">
                  <c:v>43739</c:v>
                </c:pt>
                <c:pt idx="8">
                  <c:v>43983</c:v>
                </c:pt>
                <c:pt idx="9">
                  <c:v>44136</c:v>
                </c:pt>
                <c:pt idx="10">
                  <c:v>44287</c:v>
                </c:pt>
                <c:pt idx="11">
                  <c:v>44470</c:v>
                </c:pt>
                <c:pt idx="12">
                  <c:v>44652</c:v>
                </c:pt>
                <c:pt idx="13">
                  <c:v>44835</c:v>
                </c:pt>
              </c:numCache>
            </c:numRef>
          </c:cat>
          <c:val>
            <c:numRef>
              <c:f>'Barber Creek'!$B$3:$B$16</c:f>
              <c:numCache>
                <c:formatCode>0.00</c:formatCode>
                <c:ptCount val="14"/>
                <c:pt idx="0">
                  <c:v>461.46</c:v>
                </c:pt>
                <c:pt idx="1">
                  <c:v>375.9</c:v>
                </c:pt>
                <c:pt idx="2">
                  <c:v>28.89</c:v>
                </c:pt>
                <c:pt idx="3">
                  <c:v>101.32</c:v>
                </c:pt>
                <c:pt idx="4">
                  <c:v>152.15</c:v>
                </c:pt>
                <c:pt idx="5">
                  <c:v>165.98</c:v>
                </c:pt>
                <c:pt idx="6">
                  <c:v>532.17999999999995</c:v>
                </c:pt>
                <c:pt idx="7">
                  <c:v>338.05</c:v>
                </c:pt>
                <c:pt idx="8">
                  <c:v>526.30999999999995</c:v>
                </c:pt>
                <c:pt idx="9">
                  <c:v>222.64</c:v>
                </c:pt>
                <c:pt idx="10">
                  <c:v>221.2920856451598</c:v>
                </c:pt>
                <c:pt idx="11">
                  <c:v>157.59995442481915</c:v>
                </c:pt>
                <c:pt idx="12">
                  <c:v>236.2915182374384</c:v>
                </c:pt>
                <c:pt idx="13">
                  <c:v>291.56776895231155</c:v>
                </c:pt>
              </c:numCache>
            </c:numRef>
          </c:val>
          <c:smooth val="0"/>
          <c:extLst>
            <c:ext xmlns:c16="http://schemas.microsoft.com/office/drawing/2014/chart" uri="{C3380CC4-5D6E-409C-BE32-E72D297353CC}">
              <c16:uniqueId val="{00000000-552F-49E4-964B-E9E9D3C98B93}"/>
            </c:ext>
          </c:extLst>
        </c:ser>
        <c:ser>
          <c:idx val="1"/>
          <c:order val="1"/>
          <c:tx>
            <c:strRef>
              <c:f>'Barber Creek'!$C$2</c:f>
              <c:strCache>
                <c:ptCount val="1"/>
                <c:pt idx="0">
                  <c:v>Downstream</c:v>
                </c:pt>
              </c:strCache>
            </c:strRef>
          </c:tx>
          <c:spPr>
            <a:ln w="28575" cap="rnd">
              <a:solidFill>
                <a:schemeClr val="accent2"/>
              </a:solidFill>
              <a:round/>
            </a:ln>
            <a:effectLst/>
          </c:spPr>
          <c:marker>
            <c:symbol val="none"/>
          </c:marker>
          <c:cat>
            <c:numRef>
              <c:f>'Barber Creek'!$A$3:$A$16</c:f>
              <c:numCache>
                <c:formatCode>[$-409]mmm\-yy;@</c:formatCode>
                <c:ptCount val="14"/>
                <c:pt idx="0">
                  <c:v>42522</c:v>
                </c:pt>
                <c:pt idx="1">
                  <c:v>42644</c:v>
                </c:pt>
                <c:pt idx="2">
                  <c:v>43009</c:v>
                </c:pt>
                <c:pt idx="3">
                  <c:v>43040</c:v>
                </c:pt>
                <c:pt idx="4">
                  <c:v>43344</c:v>
                </c:pt>
                <c:pt idx="5">
                  <c:v>43405</c:v>
                </c:pt>
                <c:pt idx="6">
                  <c:v>43647</c:v>
                </c:pt>
                <c:pt idx="7">
                  <c:v>43739</c:v>
                </c:pt>
                <c:pt idx="8">
                  <c:v>43983</c:v>
                </c:pt>
                <c:pt idx="9">
                  <c:v>44136</c:v>
                </c:pt>
                <c:pt idx="10">
                  <c:v>44287</c:v>
                </c:pt>
                <c:pt idx="11">
                  <c:v>44470</c:v>
                </c:pt>
                <c:pt idx="12">
                  <c:v>44652</c:v>
                </c:pt>
                <c:pt idx="13">
                  <c:v>44835</c:v>
                </c:pt>
              </c:numCache>
            </c:numRef>
          </c:cat>
          <c:val>
            <c:numRef>
              <c:f>'Barber Creek'!$C$3:$C$16</c:f>
              <c:numCache>
                <c:formatCode>0.00</c:formatCode>
                <c:ptCount val="14"/>
                <c:pt idx="0">
                  <c:v>270.87</c:v>
                </c:pt>
                <c:pt idx="1">
                  <c:v>389.32</c:v>
                </c:pt>
                <c:pt idx="2">
                  <c:v>577.41</c:v>
                </c:pt>
                <c:pt idx="3">
                  <c:v>363.73</c:v>
                </c:pt>
                <c:pt idx="4">
                  <c:v>522.16999999999996</c:v>
                </c:pt>
                <c:pt idx="5">
                  <c:v>193.45</c:v>
                </c:pt>
                <c:pt idx="6">
                  <c:v>617.16999999999996</c:v>
                </c:pt>
                <c:pt idx="7">
                  <c:v>504.86</c:v>
                </c:pt>
                <c:pt idx="8">
                  <c:v>573.20000000000005</c:v>
                </c:pt>
                <c:pt idx="9">
                  <c:v>253.77</c:v>
                </c:pt>
                <c:pt idx="10">
                  <c:v>205.20422714406843</c:v>
                </c:pt>
                <c:pt idx="11">
                  <c:v>351.21237702410468</c:v>
                </c:pt>
                <c:pt idx="12">
                  <c:v>205.4367668829041</c:v>
                </c:pt>
                <c:pt idx="13">
                  <c:v>174.47281205253148</c:v>
                </c:pt>
              </c:numCache>
            </c:numRef>
          </c:val>
          <c:smooth val="0"/>
          <c:extLst>
            <c:ext xmlns:c16="http://schemas.microsoft.com/office/drawing/2014/chart" uri="{C3380CC4-5D6E-409C-BE32-E72D297353CC}">
              <c16:uniqueId val="{00000001-552F-49E4-964B-E9E9D3C98B93}"/>
            </c:ext>
          </c:extLst>
        </c:ser>
        <c:dLbls>
          <c:showLegendKey val="0"/>
          <c:showVal val="0"/>
          <c:showCatName val="0"/>
          <c:showSerName val="0"/>
          <c:showPercent val="0"/>
          <c:showBubbleSize val="0"/>
        </c:dLbls>
        <c:smooth val="0"/>
        <c:axId val="1456323199"/>
        <c:axId val="1456325695"/>
      </c:lineChart>
      <c:dateAx>
        <c:axId val="1456323199"/>
        <c:scaling>
          <c:orientation val="minMax"/>
          <c:max val="44835"/>
          <c:min val="42461"/>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6325695"/>
        <c:crosses val="autoZero"/>
        <c:auto val="1"/>
        <c:lblOffset val="100"/>
        <c:baseTimeUnit val="months"/>
        <c:majorUnit val="6"/>
        <c:majorTimeUnit val="months"/>
      </c:dateAx>
      <c:valAx>
        <c:axId val="14563256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Geometric</a:t>
                </a:r>
                <a:r>
                  <a:rPr lang="en-US" baseline="0"/>
                  <a:t> Mean Fecal Coliform N/100ml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632319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Calls Creek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'Calls Creek'!$B$2</c:f>
              <c:strCache>
                <c:ptCount val="1"/>
                <c:pt idx="0">
                  <c:v>Upstream</c:v>
                </c:pt>
              </c:strCache>
            </c:strRef>
          </c:tx>
          <c:spPr>
            <a:ln w="28575" cap="rnd">
              <a:solidFill>
                <a:schemeClr val="accent1"/>
              </a:solidFill>
              <a:prstDash val="sysDash"/>
              <a:round/>
            </a:ln>
            <a:effectLst/>
          </c:spPr>
          <c:marker>
            <c:symbol val="none"/>
          </c:marker>
          <c:cat>
            <c:numRef>
              <c:f>'Calls Creek'!$A$3:$A$16</c:f>
              <c:numCache>
                <c:formatCode>[$-409]mmm\-yy;@</c:formatCode>
                <c:ptCount val="14"/>
                <c:pt idx="0">
                  <c:v>42522</c:v>
                </c:pt>
                <c:pt idx="1">
                  <c:v>42644</c:v>
                </c:pt>
                <c:pt idx="2">
                  <c:v>43009</c:v>
                </c:pt>
                <c:pt idx="3">
                  <c:v>43040</c:v>
                </c:pt>
                <c:pt idx="4">
                  <c:v>43344</c:v>
                </c:pt>
                <c:pt idx="5">
                  <c:v>43405</c:v>
                </c:pt>
                <c:pt idx="6">
                  <c:v>43647</c:v>
                </c:pt>
                <c:pt idx="7">
                  <c:v>43739</c:v>
                </c:pt>
                <c:pt idx="8">
                  <c:v>43983</c:v>
                </c:pt>
                <c:pt idx="9">
                  <c:v>44136</c:v>
                </c:pt>
                <c:pt idx="10">
                  <c:v>44287</c:v>
                </c:pt>
                <c:pt idx="11">
                  <c:v>44470</c:v>
                </c:pt>
                <c:pt idx="12">
                  <c:v>44652</c:v>
                </c:pt>
                <c:pt idx="13">
                  <c:v>44835</c:v>
                </c:pt>
              </c:numCache>
            </c:numRef>
          </c:cat>
          <c:val>
            <c:numRef>
              <c:f>'Calls Creek'!$B$3:$B$16</c:f>
              <c:numCache>
                <c:formatCode>0.00</c:formatCode>
                <c:ptCount val="14"/>
                <c:pt idx="0">
                  <c:v>524.37</c:v>
                </c:pt>
                <c:pt idx="1">
                  <c:v>316.63</c:v>
                </c:pt>
                <c:pt idx="2">
                  <c:v>117.04</c:v>
                </c:pt>
                <c:pt idx="3">
                  <c:v>20</c:v>
                </c:pt>
                <c:pt idx="4">
                  <c:v>119.98</c:v>
                </c:pt>
                <c:pt idx="5">
                  <c:v>123.74</c:v>
                </c:pt>
                <c:pt idx="6">
                  <c:v>133.32</c:v>
                </c:pt>
                <c:pt idx="7">
                  <c:v>659.67</c:v>
                </c:pt>
                <c:pt idx="8">
                  <c:v>298.2</c:v>
                </c:pt>
                <c:pt idx="9">
                  <c:v>217.71</c:v>
                </c:pt>
                <c:pt idx="10">
                  <c:v>478.79812777502258</c:v>
                </c:pt>
                <c:pt idx="11">
                  <c:v>666.57050480003693</c:v>
                </c:pt>
                <c:pt idx="12">
                  <c:v>854.00230081517714</c:v>
                </c:pt>
                <c:pt idx="13">
                  <c:v>392.99513322493095</c:v>
                </c:pt>
              </c:numCache>
            </c:numRef>
          </c:val>
          <c:smooth val="0"/>
          <c:extLst>
            <c:ext xmlns:c16="http://schemas.microsoft.com/office/drawing/2014/chart" uri="{C3380CC4-5D6E-409C-BE32-E72D297353CC}">
              <c16:uniqueId val="{00000000-9B74-44F8-9247-4632234894ED}"/>
            </c:ext>
          </c:extLst>
        </c:ser>
        <c:ser>
          <c:idx val="1"/>
          <c:order val="1"/>
          <c:tx>
            <c:strRef>
              <c:f>'Calls Creek'!$C$2</c:f>
              <c:strCache>
                <c:ptCount val="1"/>
                <c:pt idx="0">
                  <c:v>Downstream</c:v>
                </c:pt>
              </c:strCache>
            </c:strRef>
          </c:tx>
          <c:spPr>
            <a:ln w="28575" cap="rnd">
              <a:solidFill>
                <a:schemeClr val="accent2"/>
              </a:solidFill>
              <a:round/>
            </a:ln>
            <a:effectLst/>
          </c:spPr>
          <c:marker>
            <c:symbol val="none"/>
          </c:marker>
          <c:cat>
            <c:numRef>
              <c:f>'Calls Creek'!$A$3:$A$16</c:f>
              <c:numCache>
                <c:formatCode>[$-409]mmm\-yy;@</c:formatCode>
                <c:ptCount val="14"/>
                <c:pt idx="0">
                  <c:v>42522</c:v>
                </c:pt>
                <c:pt idx="1">
                  <c:v>42644</c:v>
                </c:pt>
                <c:pt idx="2">
                  <c:v>43009</c:v>
                </c:pt>
                <c:pt idx="3">
                  <c:v>43040</c:v>
                </c:pt>
                <c:pt idx="4">
                  <c:v>43344</c:v>
                </c:pt>
                <c:pt idx="5">
                  <c:v>43405</c:v>
                </c:pt>
                <c:pt idx="6">
                  <c:v>43647</c:v>
                </c:pt>
                <c:pt idx="7">
                  <c:v>43739</c:v>
                </c:pt>
                <c:pt idx="8">
                  <c:v>43983</c:v>
                </c:pt>
                <c:pt idx="9">
                  <c:v>44136</c:v>
                </c:pt>
                <c:pt idx="10">
                  <c:v>44287</c:v>
                </c:pt>
                <c:pt idx="11">
                  <c:v>44470</c:v>
                </c:pt>
                <c:pt idx="12">
                  <c:v>44652</c:v>
                </c:pt>
                <c:pt idx="13">
                  <c:v>44835</c:v>
                </c:pt>
              </c:numCache>
            </c:numRef>
          </c:cat>
          <c:val>
            <c:numRef>
              <c:f>'Calls Creek'!$C$3:$C$16</c:f>
              <c:numCache>
                <c:formatCode>0.00</c:formatCode>
                <c:ptCount val="14"/>
                <c:pt idx="0">
                  <c:v>373.28</c:v>
                </c:pt>
                <c:pt idx="1">
                  <c:v>190.8</c:v>
                </c:pt>
                <c:pt idx="2">
                  <c:v>168.35</c:v>
                </c:pt>
                <c:pt idx="3">
                  <c:v>17.46</c:v>
                </c:pt>
                <c:pt idx="4">
                  <c:v>279.18</c:v>
                </c:pt>
                <c:pt idx="5">
                  <c:v>67.48</c:v>
                </c:pt>
                <c:pt idx="6">
                  <c:v>245.71</c:v>
                </c:pt>
                <c:pt idx="7">
                  <c:v>293.5</c:v>
                </c:pt>
                <c:pt idx="8">
                  <c:v>323.64999999999998</c:v>
                </c:pt>
                <c:pt idx="9">
                  <c:v>121.77</c:v>
                </c:pt>
                <c:pt idx="10">
                  <c:v>283.17281720202055</c:v>
                </c:pt>
                <c:pt idx="11">
                  <c:v>127.9444948221747</c:v>
                </c:pt>
                <c:pt idx="12">
                  <c:v>405.94609596185524</c:v>
                </c:pt>
                <c:pt idx="13">
                  <c:v>104.87221590056166</c:v>
                </c:pt>
              </c:numCache>
            </c:numRef>
          </c:val>
          <c:smooth val="0"/>
          <c:extLst>
            <c:ext xmlns:c16="http://schemas.microsoft.com/office/drawing/2014/chart" uri="{C3380CC4-5D6E-409C-BE32-E72D297353CC}">
              <c16:uniqueId val="{00000001-9B74-44F8-9247-4632234894ED}"/>
            </c:ext>
          </c:extLst>
        </c:ser>
        <c:dLbls>
          <c:showLegendKey val="0"/>
          <c:showVal val="0"/>
          <c:showCatName val="0"/>
          <c:showSerName val="0"/>
          <c:showPercent val="0"/>
          <c:showBubbleSize val="0"/>
        </c:dLbls>
        <c:smooth val="0"/>
        <c:axId val="1456313631"/>
        <c:axId val="1456316127"/>
      </c:lineChart>
      <c:dateAx>
        <c:axId val="1456313631"/>
        <c:scaling>
          <c:orientation val="minMax"/>
          <c:min val="42461"/>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6316127"/>
        <c:crosses val="autoZero"/>
        <c:auto val="1"/>
        <c:lblOffset val="100"/>
        <c:baseTimeUnit val="months"/>
        <c:majorUnit val="6"/>
        <c:majorTimeUnit val="months"/>
      </c:dateAx>
      <c:valAx>
        <c:axId val="14563161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Geometric</a:t>
                </a:r>
                <a:r>
                  <a:rPr lang="en-US" baseline="0"/>
                  <a:t> Mean Fecal Coliform N/100ml</a:t>
                </a:r>
                <a:endParaRPr lang="en-US"/>
              </a:p>
            </c:rich>
          </c:tx>
          <c:layout>
            <c:manualLayout>
              <c:xMode val="edge"/>
              <c:yMode val="edge"/>
              <c:x val="1.9801424349266222E-2"/>
              <c:y val="0.113100542432195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631363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McNutt Creek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814289966112025"/>
          <c:y val="0.11138132870760743"/>
          <c:w val="0.82857317498336058"/>
          <c:h val="0.62367974765373746"/>
        </c:manualLayout>
      </c:layout>
      <c:lineChart>
        <c:grouping val="standard"/>
        <c:varyColors val="0"/>
        <c:ser>
          <c:idx val="0"/>
          <c:order val="0"/>
          <c:tx>
            <c:strRef>
              <c:f>'McNutt Creek'!$B$2</c:f>
              <c:strCache>
                <c:ptCount val="1"/>
                <c:pt idx="0">
                  <c:v>Upstream</c:v>
                </c:pt>
              </c:strCache>
            </c:strRef>
          </c:tx>
          <c:spPr>
            <a:ln w="28575" cap="rnd">
              <a:solidFill>
                <a:schemeClr val="accent1"/>
              </a:solidFill>
              <a:prstDash val="sysDash"/>
              <a:round/>
            </a:ln>
            <a:effectLst/>
          </c:spPr>
          <c:marker>
            <c:symbol val="none"/>
          </c:marker>
          <c:cat>
            <c:numRef>
              <c:f>'McNutt Creek'!$A$3:$A$16</c:f>
              <c:numCache>
                <c:formatCode>[$-409]mmm\-yy;@</c:formatCode>
                <c:ptCount val="14"/>
                <c:pt idx="0">
                  <c:v>42522</c:v>
                </c:pt>
                <c:pt idx="1">
                  <c:v>42644</c:v>
                </c:pt>
                <c:pt idx="2">
                  <c:v>43009</c:v>
                </c:pt>
                <c:pt idx="3">
                  <c:v>43040</c:v>
                </c:pt>
                <c:pt idx="4">
                  <c:v>43344</c:v>
                </c:pt>
                <c:pt idx="5">
                  <c:v>43405</c:v>
                </c:pt>
                <c:pt idx="6">
                  <c:v>43647</c:v>
                </c:pt>
                <c:pt idx="7">
                  <c:v>43739</c:v>
                </c:pt>
                <c:pt idx="8">
                  <c:v>43983</c:v>
                </c:pt>
                <c:pt idx="9">
                  <c:v>44136</c:v>
                </c:pt>
                <c:pt idx="10">
                  <c:v>44287</c:v>
                </c:pt>
                <c:pt idx="11">
                  <c:v>44470</c:v>
                </c:pt>
                <c:pt idx="12">
                  <c:v>44652</c:v>
                </c:pt>
                <c:pt idx="13">
                  <c:v>44835</c:v>
                </c:pt>
              </c:numCache>
            </c:numRef>
          </c:cat>
          <c:val>
            <c:numRef>
              <c:f>'McNutt Creek'!$B$3:$B$16</c:f>
              <c:numCache>
                <c:formatCode>0.00</c:formatCode>
                <c:ptCount val="14"/>
                <c:pt idx="0">
                  <c:v>328.15</c:v>
                </c:pt>
                <c:pt idx="1">
                  <c:v>712.69</c:v>
                </c:pt>
                <c:pt idx="2">
                  <c:v>408.2</c:v>
                </c:pt>
                <c:pt idx="3">
                  <c:v>138.13999999999999</c:v>
                </c:pt>
                <c:pt idx="4">
                  <c:v>406.01</c:v>
                </c:pt>
                <c:pt idx="5">
                  <c:v>442.73</c:v>
                </c:pt>
                <c:pt idx="6">
                  <c:v>843.42</c:v>
                </c:pt>
                <c:pt idx="7">
                  <c:v>680.69</c:v>
                </c:pt>
                <c:pt idx="8">
                  <c:v>847.37</c:v>
                </c:pt>
                <c:pt idx="9">
                  <c:v>186.49</c:v>
                </c:pt>
                <c:pt idx="10">
                  <c:v>108.2920942221818</c:v>
                </c:pt>
                <c:pt idx="11">
                  <c:v>434.79867509172681</c:v>
                </c:pt>
                <c:pt idx="12">
                  <c:v>741.44651858875227</c:v>
                </c:pt>
                <c:pt idx="13">
                  <c:v>166.76490630662116</c:v>
                </c:pt>
              </c:numCache>
            </c:numRef>
          </c:val>
          <c:smooth val="0"/>
          <c:extLst>
            <c:ext xmlns:c16="http://schemas.microsoft.com/office/drawing/2014/chart" uri="{C3380CC4-5D6E-409C-BE32-E72D297353CC}">
              <c16:uniqueId val="{00000000-DBBE-4DAB-8E32-34560194E8E0}"/>
            </c:ext>
          </c:extLst>
        </c:ser>
        <c:ser>
          <c:idx val="1"/>
          <c:order val="1"/>
          <c:tx>
            <c:strRef>
              <c:f>'McNutt Creek'!$C$2</c:f>
              <c:strCache>
                <c:ptCount val="1"/>
                <c:pt idx="0">
                  <c:v>Downstream</c:v>
                </c:pt>
              </c:strCache>
            </c:strRef>
          </c:tx>
          <c:spPr>
            <a:ln w="28575" cap="rnd">
              <a:solidFill>
                <a:schemeClr val="accent2"/>
              </a:solidFill>
              <a:round/>
            </a:ln>
            <a:effectLst/>
          </c:spPr>
          <c:marker>
            <c:symbol val="none"/>
          </c:marker>
          <c:cat>
            <c:numRef>
              <c:f>'McNutt Creek'!$A$3:$A$16</c:f>
              <c:numCache>
                <c:formatCode>[$-409]mmm\-yy;@</c:formatCode>
                <c:ptCount val="14"/>
                <c:pt idx="0">
                  <c:v>42522</c:v>
                </c:pt>
                <c:pt idx="1">
                  <c:v>42644</c:v>
                </c:pt>
                <c:pt idx="2">
                  <c:v>43009</c:v>
                </c:pt>
                <c:pt idx="3">
                  <c:v>43040</c:v>
                </c:pt>
                <c:pt idx="4">
                  <c:v>43344</c:v>
                </c:pt>
                <c:pt idx="5">
                  <c:v>43405</c:v>
                </c:pt>
                <c:pt idx="6">
                  <c:v>43647</c:v>
                </c:pt>
                <c:pt idx="7">
                  <c:v>43739</c:v>
                </c:pt>
                <c:pt idx="8">
                  <c:v>43983</c:v>
                </c:pt>
                <c:pt idx="9">
                  <c:v>44136</c:v>
                </c:pt>
                <c:pt idx="10">
                  <c:v>44287</c:v>
                </c:pt>
                <c:pt idx="11">
                  <c:v>44470</c:v>
                </c:pt>
                <c:pt idx="12">
                  <c:v>44652</c:v>
                </c:pt>
                <c:pt idx="13">
                  <c:v>44835</c:v>
                </c:pt>
              </c:numCache>
            </c:numRef>
          </c:cat>
          <c:val>
            <c:numRef>
              <c:f>'McNutt Creek'!$C$3:$C$16</c:f>
              <c:numCache>
                <c:formatCode>0.00</c:formatCode>
                <c:ptCount val="14"/>
                <c:pt idx="0">
                  <c:v>266.27999999999997</c:v>
                </c:pt>
                <c:pt idx="1">
                  <c:v>417.14</c:v>
                </c:pt>
                <c:pt idx="2">
                  <c:v>507.09</c:v>
                </c:pt>
                <c:pt idx="3">
                  <c:v>333.57</c:v>
                </c:pt>
                <c:pt idx="4">
                  <c:v>312.91000000000003</c:v>
                </c:pt>
                <c:pt idx="5">
                  <c:v>156.13999999999999</c:v>
                </c:pt>
                <c:pt idx="6">
                  <c:v>552.36</c:v>
                </c:pt>
                <c:pt idx="7">
                  <c:v>380.02</c:v>
                </c:pt>
                <c:pt idx="8">
                  <c:v>485.24</c:v>
                </c:pt>
                <c:pt idx="9">
                  <c:v>194.31</c:v>
                </c:pt>
                <c:pt idx="10">
                  <c:v>138.95966210419698</c:v>
                </c:pt>
                <c:pt idx="11">
                  <c:v>554.02883357108033</c:v>
                </c:pt>
                <c:pt idx="12">
                  <c:v>261.10271678375972</c:v>
                </c:pt>
                <c:pt idx="13">
                  <c:v>320.5428371322281</c:v>
                </c:pt>
              </c:numCache>
            </c:numRef>
          </c:val>
          <c:smooth val="0"/>
          <c:extLst>
            <c:ext xmlns:c16="http://schemas.microsoft.com/office/drawing/2014/chart" uri="{C3380CC4-5D6E-409C-BE32-E72D297353CC}">
              <c16:uniqueId val="{00000001-DBBE-4DAB-8E32-34560194E8E0}"/>
            </c:ext>
          </c:extLst>
        </c:ser>
        <c:dLbls>
          <c:showLegendKey val="0"/>
          <c:showVal val="0"/>
          <c:showCatName val="0"/>
          <c:showSerName val="0"/>
          <c:showPercent val="0"/>
          <c:showBubbleSize val="0"/>
        </c:dLbls>
        <c:smooth val="0"/>
        <c:axId val="1456330687"/>
        <c:axId val="1456320287"/>
      </c:lineChart>
      <c:dateAx>
        <c:axId val="1456330687"/>
        <c:scaling>
          <c:orientation val="minMax"/>
          <c:max val="44835"/>
          <c:min val="42461"/>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6320287"/>
        <c:crosses val="autoZero"/>
        <c:auto val="1"/>
        <c:lblOffset val="100"/>
        <c:baseTimeUnit val="months"/>
        <c:majorUnit val="6"/>
        <c:majorTimeUnit val="months"/>
      </c:dateAx>
      <c:valAx>
        <c:axId val="14563202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Geometric Mean Fecal</a:t>
                </a:r>
                <a:r>
                  <a:rPr lang="en-US" baseline="0"/>
                  <a:t> Coliform N/100ml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633068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r"/>
      <c:layout>
        <c:manualLayout>
          <c:xMode val="edge"/>
          <c:yMode val="edge"/>
          <c:x val="0.29371958385159264"/>
          <c:y val="0.93934122802817765"/>
          <c:w val="0.50876983450411306"/>
          <c:h val="5.772558159806274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Middle Ocone River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'Middle Oconee River'!$B$3</c:f>
              <c:strCache>
                <c:ptCount val="1"/>
                <c:pt idx="0">
                  <c:v>Upstream</c:v>
                </c:pt>
              </c:strCache>
            </c:strRef>
          </c:tx>
          <c:spPr>
            <a:ln w="28575" cap="rnd">
              <a:solidFill>
                <a:schemeClr val="accent1"/>
              </a:solidFill>
              <a:prstDash val="sysDash"/>
              <a:round/>
            </a:ln>
            <a:effectLst/>
          </c:spPr>
          <c:marker>
            <c:symbol val="none"/>
          </c:marker>
          <c:cat>
            <c:numRef>
              <c:f>'Middle Oconee River'!$A$4:$A$17</c:f>
              <c:numCache>
                <c:formatCode>[$-409]mmm\-yy;@</c:formatCode>
                <c:ptCount val="14"/>
                <c:pt idx="0">
                  <c:v>42522</c:v>
                </c:pt>
                <c:pt idx="1">
                  <c:v>42644</c:v>
                </c:pt>
                <c:pt idx="2">
                  <c:v>43009</c:v>
                </c:pt>
                <c:pt idx="3">
                  <c:v>43040</c:v>
                </c:pt>
                <c:pt idx="4">
                  <c:v>43344</c:v>
                </c:pt>
                <c:pt idx="5">
                  <c:v>43405</c:v>
                </c:pt>
                <c:pt idx="6">
                  <c:v>43647</c:v>
                </c:pt>
                <c:pt idx="7">
                  <c:v>43739</c:v>
                </c:pt>
                <c:pt idx="8">
                  <c:v>43983</c:v>
                </c:pt>
                <c:pt idx="9">
                  <c:v>44136</c:v>
                </c:pt>
                <c:pt idx="10">
                  <c:v>44287</c:v>
                </c:pt>
                <c:pt idx="11">
                  <c:v>44470</c:v>
                </c:pt>
                <c:pt idx="12">
                  <c:v>44652</c:v>
                </c:pt>
                <c:pt idx="13">
                  <c:v>44835</c:v>
                </c:pt>
              </c:numCache>
            </c:numRef>
          </c:cat>
          <c:val>
            <c:numRef>
              <c:f>'Middle Oconee River'!$B$4:$B$17</c:f>
              <c:numCache>
                <c:formatCode>0.00</c:formatCode>
                <c:ptCount val="14"/>
                <c:pt idx="0">
                  <c:v>164.66</c:v>
                </c:pt>
                <c:pt idx="1">
                  <c:v>200.4</c:v>
                </c:pt>
                <c:pt idx="2">
                  <c:v>122.77</c:v>
                </c:pt>
                <c:pt idx="3">
                  <c:v>63.63</c:v>
                </c:pt>
                <c:pt idx="4">
                  <c:v>293.27</c:v>
                </c:pt>
                <c:pt idx="5">
                  <c:v>303.66000000000003</c:v>
                </c:pt>
                <c:pt idx="6">
                  <c:v>366.46</c:v>
                </c:pt>
                <c:pt idx="7">
                  <c:v>249.42</c:v>
                </c:pt>
                <c:pt idx="8">
                  <c:v>374.13</c:v>
                </c:pt>
                <c:pt idx="9">
                  <c:v>126.49</c:v>
                </c:pt>
                <c:pt idx="10">
                  <c:v>83.708653360488341</c:v>
                </c:pt>
                <c:pt idx="11">
                  <c:v>214.33629866335639</c:v>
                </c:pt>
                <c:pt idx="12">
                  <c:v>155.26306522444031</c:v>
                </c:pt>
                <c:pt idx="13">
                  <c:v>111.15996010985739</c:v>
                </c:pt>
              </c:numCache>
            </c:numRef>
          </c:val>
          <c:smooth val="0"/>
          <c:extLst>
            <c:ext xmlns:c16="http://schemas.microsoft.com/office/drawing/2014/chart" uri="{C3380CC4-5D6E-409C-BE32-E72D297353CC}">
              <c16:uniqueId val="{00000000-BDAB-4A26-9B8D-30B4841F2FCD}"/>
            </c:ext>
          </c:extLst>
        </c:ser>
        <c:ser>
          <c:idx val="1"/>
          <c:order val="1"/>
          <c:tx>
            <c:strRef>
              <c:f>'Middle Oconee River'!$C$3</c:f>
              <c:strCache>
                <c:ptCount val="1"/>
                <c:pt idx="0">
                  <c:v>Downstream</c:v>
                </c:pt>
              </c:strCache>
            </c:strRef>
          </c:tx>
          <c:spPr>
            <a:ln w="28575" cap="rnd">
              <a:solidFill>
                <a:schemeClr val="accent2"/>
              </a:solidFill>
              <a:round/>
            </a:ln>
            <a:effectLst/>
          </c:spPr>
          <c:marker>
            <c:symbol val="none"/>
          </c:marker>
          <c:cat>
            <c:numRef>
              <c:f>'Middle Oconee River'!$A$4:$A$17</c:f>
              <c:numCache>
                <c:formatCode>[$-409]mmm\-yy;@</c:formatCode>
                <c:ptCount val="14"/>
                <c:pt idx="0">
                  <c:v>42522</c:v>
                </c:pt>
                <c:pt idx="1">
                  <c:v>42644</c:v>
                </c:pt>
                <c:pt idx="2">
                  <c:v>43009</c:v>
                </c:pt>
                <c:pt idx="3">
                  <c:v>43040</c:v>
                </c:pt>
                <c:pt idx="4">
                  <c:v>43344</c:v>
                </c:pt>
                <c:pt idx="5">
                  <c:v>43405</c:v>
                </c:pt>
                <c:pt idx="6">
                  <c:v>43647</c:v>
                </c:pt>
                <c:pt idx="7">
                  <c:v>43739</c:v>
                </c:pt>
                <c:pt idx="8">
                  <c:v>43983</c:v>
                </c:pt>
                <c:pt idx="9">
                  <c:v>44136</c:v>
                </c:pt>
                <c:pt idx="10">
                  <c:v>44287</c:v>
                </c:pt>
                <c:pt idx="11">
                  <c:v>44470</c:v>
                </c:pt>
                <c:pt idx="12">
                  <c:v>44652</c:v>
                </c:pt>
                <c:pt idx="13">
                  <c:v>44835</c:v>
                </c:pt>
              </c:numCache>
            </c:numRef>
          </c:cat>
          <c:val>
            <c:numRef>
              <c:f>'Middle Oconee River'!$C$4:$C$17</c:f>
              <c:numCache>
                <c:formatCode>0.00</c:formatCode>
                <c:ptCount val="14"/>
                <c:pt idx="0">
                  <c:v>135.25</c:v>
                </c:pt>
                <c:pt idx="1">
                  <c:v>264.77999999999997</c:v>
                </c:pt>
                <c:pt idx="2">
                  <c:v>332.7</c:v>
                </c:pt>
                <c:pt idx="3">
                  <c:v>48.91</c:v>
                </c:pt>
                <c:pt idx="4">
                  <c:v>256.73</c:v>
                </c:pt>
                <c:pt idx="5">
                  <c:v>720.35</c:v>
                </c:pt>
                <c:pt idx="6">
                  <c:v>402.74</c:v>
                </c:pt>
                <c:pt idx="7">
                  <c:v>325.12</c:v>
                </c:pt>
                <c:pt idx="8">
                  <c:v>313.2</c:v>
                </c:pt>
                <c:pt idx="9">
                  <c:v>89.44</c:v>
                </c:pt>
                <c:pt idx="10">
                  <c:v>87.468965915462249</c:v>
                </c:pt>
                <c:pt idx="11">
                  <c:v>322.76594395764846</c:v>
                </c:pt>
                <c:pt idx="12">
                  <c:v>180.10536013248114</c:v>
                </c:pt>
                <c:pt idx="13">
                  <c:v>208.26580845790977</c:v>
                </c:pt>
              </c:numCache>
            </c:numRef>
          </c:val>
          <c:smooth val="0"/>
          <c:extLst>
            <c:ext xmlns:c16="http://schemas.microsoft.com/office/drawing/2014/chart" uri="{C3380CC4-5D6E-409C-BE32-E72D297353CC}">
              <c16:uniqueId val="{00000001-BDAB-4A26-9B8D-30B4841F2FCD}"/>
            </c:ext>
          </c:extLst>
        </c:ser>
        <c:dLbls>
          <c:showLegendKey val="0"/>
          <c:showVal val="0"/>
          <c:showCatName val="0"/>
          <c:showSerName val="0"/>
          <c:showPercent val="0"/>
          <c:showBubbleSize val="0"/>
        </c:dLbls>
        <c:smooth val="0"/>
        <c:axId val="1362208463"/>
        <c:axId val="1362204719"/>
      </c:lineChart>
      <c:dateAx>
        <c:axId val="1362208463"/>
        <c:scaling>
          <c:orientation val="minMax"/>
          <c:max val="44835"/>
          <c:min val="42461"/>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204719"/>
        <c:crosses val="autoZero"/>
        <c:auto val="1"/>
        <c:lblOffset val="100"/>
        <c:baseTimeUnit val="months"/>
        <c:majorUnit val="6"/>
        <c:majorTimeUnit val="months"/>
      </c:dateAx>
      <c:valAx>
        <c:axId val="13622047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Geometric Mean Fecal Coliform N/100ml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208463"/>
        <c:crosses val="autoZero"/>
        <c:crossBetween val="between"/>
      </c:valAx>
      <c:dTable>
        <c:showHorzBorder val="1"/>
        <c:showVertBorder val="1"/>
        <c:showOutline val="0"/>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Oconee County Board of Commissioners</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Woodall</dc:creator>
  <cp:keywords/>
  <dc:description/>
  <cp:lastModifiedBy>Jody Woodall</cp:lastModifiedBy>
  <cp:revision>2</cp:revision>
  <cp:lastPrinted>2022-06-06T17:57:00Z</cp:lastPrinted>
  <dcterms:created xsi:type="dcterms:W3CDTF">2023-02-10T15:51:00Z</dcterms:created>
  <dcterms:modified xsi:type="dcterms:W3CDTF">2023-02-10T15:51:00Z</dcterms:modified>
</cp:coreProperties>
</file>